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FB490" w14:textId="00B20323" w:rsidR="003B4D20" w:rsidRDefault="003B4D20" w:rsidP="003B4D20">
      <w:pPr>
        <w:jc w:val="both"/>
      </w:pPr>
      <w:r w:rsidRPr="006D7448">
        <w:rPr>
          <w:b/>
          <w:bCs/>
        </w:rPr>
        <w:t>Amir</w:t>
      </w:r>
      <w:r>
        <w:rPr>
          <w:b/>
          <w:bCs/>
        </w:rPr>
        <w:t>i:</w:t>
      </w:r>
      <w:r>
        <w:t xml:space="preserve"> İSG Koordinatörü (Dayanak: Tokat Gaziosmanpaşa Üniversitesi İş Sağlığı ve Güvenliği Yönergesi Madde: </w:t>
      </w:r>
      <w:r w:rsidR="003413A1">
        <w:t>13</w:t>
      </w:r>
      <w:r>
        <w:t xml:space="preserve">) </w:t>
      </w:r>
    </w:p>
    <w:p w14:paraId="5C0EB1B5" w14:textId="77777777" w:rsidR="003B4D20" w:rsidRDefault="003B4D20" w:rsidP="003B4D20">
      <w:pPr>
        <w:jc w:val="both"/>
      </w:pPr>
      <w:r w:rsidRPr="006D7448">
        <w:rPr>
          <w:b/>
          <w:bCs/>
        </w:rPr>
        <w:t>Görev Amacı:</w:t>
      </w:r>
      <w:r>
        <w:t xml:space="preserve"> 6331 Sayılı İSG Kanunu gereği kurum çalışanlarına İ</w:t>
      </w:r>
      <w:r w:rsidRPr="006D7448">
        <w:t>ş sağlığı ve güvenliği hizmetleri</w:t>
      </w:r>
      <w:r>
        <w:t xml:space="preserve"> için gerekli danışmanlık hizmetini verir.</w:t>
      </w:r>
    </w:p>
    <w:p w14:paraId="3AC44BD7" w14:textId="77777777" w:rsidR="003B4D20" w:rsidRPr="00036134" w:rsidRDefault="003B4D20" w:rsidP="003B4D20">
      <w:pPr>
        <w:jc w:val="both"/>
        <w:rPr>
          <w:b/>
          <w:bCs/>
        </w:rPr>
      </w:pPr>
      <w:r w:rsidRPr="00036134">
        <w:rPr>
          <w:b/>
          <w:bCs/>
        </w:rPr>
        <w:t>Yetkiler:</w:t>
      </w:r>
    </w:p>
    <w:p w14:paraId="179E3DD7" w14:textId="77777777" w:rsidR="003B4D20" w:rsidRDefault="003B4D20" w:rsidP="003B4D20">
      <w:pPr>
        <w:pStyle w:val="ListeParagraf"/>
        <w:numPr>
          <w:ilvl w:val="0"/>
          <w:numId w:val="4"/>
        </w:numPr>
        <w:jc w:val="both"/>
      </w:pPr>
      <w:r>
        <w:t>İşyerinde belirlediği hayati tehlikenin ciddi ve önlenemez olması ve bu hususun acil müdahale gerektirmesi halinde işin durdurulması için işverene başvurmak.</w:t>
      </w:r>
    </w:p>
    <w:p w14:paraId="2CB72691" w14:textId="77777777" w:rsidR="003B4D20" w:rsidRDefault="003B4D20" w:rsidP="003B4D20">
      <w:pPr>
        <w:pStyle w:val="ListeParagraf"/>
        <w:numPr>
          <w:ilvl w:val="0"/>
          <w:numId w:val="4"/>
        </w:numPr>
        <w:jc w:val="both"/>
      </w:pPr>
      <w:r>
        <w:t>Görevi gereği işyerinin bütün bölümlerinde iş sağlığı ve güvenliği konusunda inceleme ve araştırma yapmak, gerekli bilgi ve belgelere ulaşmak ve çalışanlarla görüşmek.</w:t>
      </w:r>
    </w:p>
    <w:p w14:paraId="094F4AC4" w14:textId="77777777" w:rsidR="003B4D20" w:rsidRDefault="003B4D20" w:rsidP="003B4D20">
      <w:pPr>
        <w:pStyle w:val="ListeParagraf"/>
        <w:numPr>
          <w:ilvl w:val="0"/>
          <w:numId w:val="4"/>
        </w:numPr>
        <w:jc w:val="both"/>
      </w:pPr>
      <w:r>
        <w:t>Görevinin gerektirdiği konularda işverenin bilgisi dâhilinde ilgili kurum ve kuruluşlarla işyerinin iç düzenlemelerine uygun olarak iş birliği yapmak.</w:t>
      </w:r>
    </w:p>
    <w:p w14:paraId="41F3FC9F" w14:textId="77777777" w:rsidR="003B4D20" w:rsidRDefault="003B4D20" w:rsidP="003B4D20">
      <w:pPr>
        <w:jc w:val="both"/>
      </w:pPr>
      <w:r w:rsidRPr="006D7448">
        <w:rPr>
          <w:b/>
          <w:bCs/>
        </w:rPr>
        <w:t>Yasal Dayanak:</w:t>
      </w:r>
      <w:r>
        <w:t xml:space="preserve"> </w:t>
      </w:r>
    </w:p>
    <w:p w14:paraId="482F3B2D" w14:textId="77777777" w:rsidR="003B4D20" w:rsidRDefault="003B4D20" w:rsidP="003B4D20">
      <w:pPr>
        <w:pStyle w:val="ListeParagraf"/>
        <w:numPr>
          <w:ilvl w:val="0"/>
          <w:numId w:val="5"/>
        </w:numPr>
        <w:jc w:val="both"/>
      </w:pPr>
      <w:r>
        <w:t>6331 Sayılı İş Sağlığı ve Güvenliği Kanunu</w:t>
      </w:r>
    </w:p>
    <w:p w14:paraId="56FDF7E6" w14:textId="77777777" w:rsidR="003B4D20" w:rsidRDefault="003B4D20" w:rsidP="003B4D20">
      <w:pPr>
        <w:pStyle w:val="ListeParagraf"/>
        <w:numPr>
          <w:ilvl w:val="0"/>
          <w:numId w:val="5"/>
        </w:numPr>
        <w:jc w:val="both"/>
      </w:pPr>
      <w:r>
        <w:t>İşyeri Hekimi ve Diğer Sağlık Personelinin Görev, Yetki, Sorumluluk ve Eğitimleri Hakkında Yönetmelik</w:t>
      </w:r>
    </w:p>
    <w:p w14:paraId="681C287D" w14:textId="77777777" w:rsidR="003B4D20" w:rsidRDefault="003B4D20" w:rsidP="003B4D20">
      <w:pPr>
        <w:pStyle w:val="ListeParagraf"/>
        <w:numPr>
          <w:ilvl w:val="0"/>
          <w:numId w:val="5"/>
        </w:numPr>
        <w:jc w:val="both"/>
      </w:pPr>
      <w:r>
        <w:t>Tokat Gaziosmanpaşa Üniversitesi İş Sağlığı ve Güvenliği Yönergesi</w:t>
      </w:r>
    </w:p>
    <w:p w14:paraId="519CD629" w14:textId="77777777" w:rsidR="003413A1" w:rsidRDefault="003413A1" w:rsidP="003B4D20">
      <w:pPr>
        <w:jc w:val="both"/>
        <w:rPr>
          <w:b/>
          <w:bCs/>
        </w:rPr>
      </w:pPr>
    </w:p>
    <w:p w14:paraId="1B4A3FDE" w14:textId="482F1747" w:rsidR="003B4D20" w:rsidRDefault="003B4D20" w:rsidP="003B4D20">
      <w:pPr>
        <w:jc w:val="both"/>
        <w:rPr>
          <w:b/>
          <w:bCs/>
        </w:rPr>
      </w:pPr>
      <w:r w:rsidRPr="00F13CC2">
        <w:rPr>
          <w:b/>
          <w:bCs/>
        </w:rPr>
        <w:t xml:space="preserve">Temel İş ve Sorumluluklar: </w:t>
      </w:r>
    </w:p>
    <w:p w14:paraId="0A80F62D" w14:textId="77777777" w:rsidR="003B4D20" w:rsidRPr="00D54B69" w:rsidRDefault="003B4D20" w:rsidP="003B4D20">
      <w:pPr>
        <w:pStyle w:val="ListeParagraf"/>
        <w:numPr>
          <w:ilvl w:val="0"/>
          <w:numId w:val="6"/>
        </w:numPr>
        <w:jc w:val="both"/>
        <w:rPr>
          <w:b/>
          <w:bCs/>
        </w:rPr>
      </w:pPr>
      <w:r w:rsidRPr="00D54B69">
        <w:rPr>
          <w:b/>
          <w:bCs/>
        </w:rPr>
        <w:t>Rehberlik;</w:t>
      </w:r>
    </w:p>
    <w:p w14:paraId="1070DD9D" w14:textId="77777777" w:rsidR="003B4D20" w:rsidRDefault="003B4D20" w:rsidP="003B4D20">
      <w:pPr>
        <w:pStyle w:val="ListeParagraf"/>
        <w:numPr>
          <w:ilvl w:val="1"/>
          <w:numId w:val="7"/>
        </w:numPr>
        <w:jc w:val="both"/>
      </w:pPr>
      <w:r>
        <w:t>İş sağlığı ve güvenliği hizmetleri kapsamında çalışanların sağlık gözetimi ve çalışma ortamının gözetimi ile ilgili işverene rehberlik yapmak.</w:t>
      </w:r>
    </w:p>
    <w:p w14:paraId="54F28B87" w14:textId="77777777" w:rsidR="003B4D20" w:rsidRDefault="003B4D20" w:rsidP="003B4D20">
      <w:pPr>
        <w:pStyle w:val="ListeParagraf"/>
        <w:numPr>
          <w:ilvl w:val="1"/>
          <w:numId w:val="7"/>
        </w:numPr>
        <w:jc w:val="both"/>
      </w:pPr>
      <w:r>
        <w:t>İşyerinde yapılan çalışmalar ve yapılacak değişikliklerle ilgili olarak işyerinin tasarımı, kullanılan maddeler de dâhil olmak üzere işin planlanması, organizasyonu ve uygulanması, kişisel koruyucu donanımların seçimi konularının iş sağlığı ve güvenliği mevzuatına ve genel iş sağlığı kurallarına uygun olarak sürdürülmesini sağlamak için işverene önerilerde bulunmak.</w:t>
      </w:r>
    </w:p>
    <w:p w14:paraId="77DF9C6C" w14:textId="77777777" w:rsidR="003B4D20" w:rsidRDefault="003B4D20" w:rsidP="003B4D20">
      <w:pPr>
        <w:pStyle w:val="ListeParagraf"/>
        <w:numPr>
          <w:ilvl w:val="1"/>
          <w:numId w:val="7"/>
        </w:numPr>
        <w:jc w:val="both"/>
      </w:pPr>
      <w:r>
        <w:t>İşyerinde çalışanların sağlığının geliştirilmesi amacıyla gerekli aktiviteler konusunda işverene tavsiyelerde bulunmak.</w:t>
      </w:r>
    </w:p>
    <w:p w14:paraId="5880C807" w14:textId="77777777" w:rsidR="003B4D20" w:rsidRDefault="003B4D20" w:rsidP="003B4D20">
      <w:pPr>
        <w:pStyle w:val="ListeParagraf"/>
        <w:numPr>
          <w:ilvl w:val="1"/>
          <w:numId w:val="7"/>
        </w:numPr>
        <w:jc w:val="both"/>
      </w:pPr>
      <w:r>
        <w:t>İş sağlığı ve güvenliği alanında yapılacak araştırmalara katılmak, ayrıca işin yürütümünde ergonomik ve psikososyal riskler açısından çalışanların fiziksel ve zihinsel kapasitelerini dikkate alarak iş ile çalışanın uyumunun sağlanması ve çalışma ortamındaki stres faktörlerinden korunmaları için araştırmalar yapmak ve bu araştırma sonuçlarını rehberlik faaliyetlerinde dikkate almak.</w:t>
      </w:r>
    </w:p>
    <w:p w14:paraId="5F86AADA" w14:textId="77777777" w:rsidR="003B4D20" w:rsidRDefault="003B4D20" w:rsidP="003B4D20">
      <w:pPr>
        <w:pStyle w:val="ListeParagraf"/>
        <w:numPr>
          <w:ilvl w:val="1"/>
          <w:numId w:val="7"/>
        </w:numPr>
        <w:jc w:val="both"/>
      </w:pPr>
      <w:r>
        <w:t>İşyerinde meydana gelen iş kazası ve meslek hastalıklarının nedenlerinin araştırılması ve tekrarlanmaması için alınacak önlemler konusunda çalışmalar yaparak işverene önerilerde bulunmak.</w:t>
      </w:r>
    </w:p>
    <w:p w14:paraId="4C556621" w14:textId="77777777" w:rsidR="003B4D20" w:rsidRDefault="003B4D20" w:rsidP="003B4D20">
      <w:pPr>
        <w:pStyle w:val="ListeParagraf"/>
        <w:numPr>
          <w:ilvl w:val="1"/>
          <w:numId w:val="7"/>
        </w:numPr>
        <w:jc w:val="both"/>
      </w:pPr>
      <w:r>
        <w:t>İşyerinde meydana gelen ancak ölüm ya da yaralanmaya neden olmadığı halde çalışana, ekipmana veya işyerine zarar verme potansiyeli olan olayların nedenlerinin araştırılması konusunda çalışma yapmak ve işverene önerilerde bulunmak.</w:t>
      </w:r>
    </w:p>
    <w:p w14:paraId="033BE046" w14:textId="77777777" w:rsidR="003B4D20" w:rsidRDefault="003B4D20" w:rsidP="003B4D20">
      <w:pPr>
        <w:pStyle w:val="ListeParagraf"/>
        <w:numPr>
          <w:ilvl w:val="1"/>
          <w:numId w:val="7"/>
        </w:numPr>
        <w:jc w:val="both"/>
      </w:pPr>
      <w:r>
        <w:t>İş sağlığı ve güvenliğiyle ilgili alınması gereken tedbirleri işverene yazılı olarak bildirmek.</w:t>
      </w:r>
    </w:p>
    <w:p w14:paraId="2B17A091" w14:textId="77777777" w:rsidR="003B4D20" w:rsidRPr="00AF307D" w:rsidRDefault="003B4D20" w:rsidP="003B4D20">
      <w:pPr>
        <w:pStyle w:val="ListeParagraf"/>
        <w:numPr>
          <w:ilvl w:val="0"/>
          <w:numId w:val="7"/>
        </w:numPr>
        <w:jc w:val="both"/>
        <w:rPr>
          <w:b/>
          <w:bCs/>
        </w:rPr>
      </w:pPr>
      <w:r w:rsidRPr="00AF307D">
        <w:rPr>
          <w:b/>
          <w:bCs/>
        </w:rPr>
        <w:lastRenderedPageBreak/>
        <w:t>Risk değerlendirmesi;</w:t>
      </w:r>
    </w:p>
    <w:p w14:paraId="4477AAED" w14:textId="77777777" w:rsidR="003B4D20" w:rsidRDefault="003B4D20" w:rsidP="003B4D20">
      <w:pPr>
        <w:pStyle w:val="ListeParagraf"/>
        <w:numPr>
          <w:ilvl w:val="1"/>
          <w:numId w:val="8"/>
        </w:numPr>
        <w:jc w:val="both"/>
      </w:pPr>
      <w:r>
        <w:t>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14:paraId="3DE5252F" w14:textId="77777777" w:rsidR="003B4D20" w:rsidRPr="00186EAA" w:rsidRDefault="003B4D20" w:rsidP="003B4D20">
      <w:pPr>
        <w:pStyle w:val="ListeParagraf"/>
        <w:numPr>
          <w:ilvl w:val="1"/>
          <w:numId w:val="8"/>
        </w:numPr>
        <w:jc w:val="both"/>
        <w:rPr>
          <w:b/>
          <w:bCs/>
        </w:rPr>
      </w:pPr>
      <w:r>
        <w:t>Gebe veya emziren kadınlar, 18 yaşından küçükler, meslek hastalığı tanısı veya ön tanısı olanlar, kronik hastalığı olanlar, yaşlılar, malul ve engelliler, alkol, ilaç ve uyuşturucu bağımlılığı olanlar, birden fazla iş kazası geçirmiş olanlar gibi özel politika gerektiren grupları yakın takip ve koruma altına almak, bilgilendirmek ve yapılacak risk değerlendirmesinde özel olarak dikkate almak.</w:t>
      </w:r>
    </w:p>
    <w:p w14:paraId="1AD042CF" w14:textId="77777777" w:rsidR="003B4D20" w:rsidRPr="00E97F0C" w:rsidRDefault="003B4D20" w:rsidP="003B4D20">
      <w:pPr>
        <w:pStyle w:val="ListeParagraf"/>
        <w:numPr>
          <w:ilvl w:val="0"/>
          <w:numId w:val="7"/>
        </w:numPr>
        <w:jc w:val="both"/>
        <w:rPr>
          <w:b/>
          <w:bCs/>
        </w:rPr>
      </w:pPr>
      <w:r w:rsidRPr="00E97F0C">
        <w:rPr>
          <w:b/>
          <w:bCs/>
        </w:rPr>
        <w:t>Sağlık gözetimi;</w:t>
      </w:r>
    </w:p>
    <w:p w14:paraId="429FC4A8" w14:textId="77777777" w:rsidR="003B4D20" w:rsidRDefault="003B4D20" w:rsidP="003B4D20">
      <w:pPr>
        <w:pStyle w:val="ListeParagraf"/>
        <w:numPr>
          <w:ilvl w:val="1"/>
          <w:numId w:val="7"/>
        </w:numPr>
        <w:jc w:val="both"/>
      </w:pPr>
      <w:r>
        <w:t>Sağlık gözetimi kapsamında yapılacak işe giriş ve periyodik muayeneler ve tetkikler ile ilgili olarak çalışanları bilgilendirmek ve onların rızasını almak.</w:t>
      </w:r>
    </w:p>
    <w:p w14:paraId="0648497C" w14:textId="77777777" w:rsidR="003B4D20" w:rsidRDefault="003B4D20" w:rsidP="003B4D20">
      <w:pPr>
        <w:pStyle w:val="ListeParagraf"/>
        <w:numPr>
          <w:ilvl w:val="1"/>
          <w:numId w:val="7"/>
        </w:numPr>
        <w:jc w:val="both"/>
      </w:pPr>
      <w:r>
        <w:t>Gece postaları da dâhil olmak üzere çalışanların sağlık gözetimini yapmak.</w:t>
      </w:r>
      <w:r>
        <w:cr/>
        <w:t>Çalışanın kişisel özellikleri, işyerinin tehlike sınıfı ve işin niteliği öncelikli olarak göz önünde bulundurularak uluslararası standartlar ile işyerinde yapılan risk değerlendirmesi sonuçları doğrultusunda; en geç yılda bir, özel politika gerektiren grupta yer alanlardan genç ve gebe çalışanlar için en geç altı ayda bir defa olmak üzere periyodik muayene tekrarlanır. Ancak işyeri hekiminin gerek görmesi halinde bu süreler kısaltılır.</w:t>
      </w:r>
    </w:p>
    <w:p w14:paraId="1E37D578" w14:textId="77777777" w:rsidR="003B4D20" w:rsidRDefault="003B4D20" w:rsidP="003B4D20">
      <w:pPr>
        <w:pStyle w:val="ListeParagraf"/>
        <w:numPr>
          <w:ilvl w:val="1"/>
          <w:numId w:val="7"/>
        </w:numPr>
        <w:jc w:val="both"/>
      </w:pPr>
      <w:r>
        <w:t>Çalışanların yapacakları işe uygun olduklarını belirten işe giriş ve periyodik sağlık muayenesi ile gerekli tetkiklerin sonuçlarını düzenlemek ve işyerinde muhafaza etmek.</w:t>
      </w:r>
    </w:p>
    <w:p w14:paraId="5F0511A4" w14:textId="77777777" w:rsidR="003B4D20" w:rsidRDefault="003B4D20" w:rsidP="003B4D20">
      <w:pPr>
        <w:pStyle w:val="ListeParagraf"/>
        <w:numPr>
          <w:ilvl w:val="1"/>
          <w:numId w:val="7"/>
        </w:numPr>
        <w:jc w:val="both"/>
      </w:pPr>
      <w:r>
        <w:t>Özel politika gerektiren gruplar, meslek hastalığı tanısı veya ön tanısı alanlar, kronik hastalığı, madde bağımlılığı, birden fazla iş kazası geçirmiş olanlar gibi çalışanların, uygun işe yerleştirilmeleri için gerekli sağlık muayenelerini yaparak rapor düzenlemek, meslek hastalığı tanısı veya ön tanısı almış çalışanın olması durumunda kişinin çalıştığı ortamdaki diğer çalışanların sağlık muayenelerini tekrarlamak.</w:t>
      </w:r>
    </w:p>
    <w:p w14:paraId="6082B17E" w14:textId="77777777" w:rsidR="003B4D20" w:rsidRDefault="003B4D20" w:rsidP="003B4D20">
      <w:pPr>
        <w:pStyle w:val="ListeParagraf"/>
        <w:numPr>
          <w:ilvl w:val="1"/>
          <w:numId w:val="7"/>
        </w:numPr>
        <w:jc w:val="both"/>
      </w:pPr>
      <w:r>
        <w:t>Sağlık sorunları nedeniyle işe devamsızlık durumları ile işyerinde olabilecek sağlık tehlikeleri arasında bir ilişkinin olup olmadığını tespit etmek, gerektiğinde çalışma ortamı ile ilgili ölçümler yapılmasını planlayarak işverenin onayına sunmak ve alınan sonuçların çalışanların sağlığı yönünden değerlendirmesini yapmak.</w:t>
      </w:r>
    </w:p>
    <w:p w14:paraId="10E024B7" w14:textId="77777777" w:rsidR="003B4D20" w:rsidRDefault="003B4D20" w:rsidP="003B4D20">
      <w:pPr>
        <w:pStyle w:val="ListeParagraf"/>
        <w:numPr>
          <w:ilvl w:val="1"/>
          <w:numId w:val="7"/>
        </w:numPr>
        <w:jc w:val="both"/>
      </w:pPr>
      <w:r>
        <w:t>Çalışanların sağlık nedeniyle tekrarlanan işten uzaklaşmalarından sonra işe dönüşlerinde talep etmeleri halinde işe dönüş muayenesi yaparak eski görevinde çalışması sakıncalı bulunanlara mevcut sağlık durumlarına uygun bir görev verilmesini tavsiye ederek işverenin onayına sunmak.</w:t>
      </w:r>
    </w:p>
    <w:p w14:paraId="01ED3037" w14:textId="77777777" w:rsidR="003B4D20" w:rsidRDefault="003B4D20" w:rsidP="003B4D20">
      <w:pPr>
        <w:pStyle w:val="ListeParagraf"/>
        <w:numPr>
          <w:ilvl w:val="1"/>
          <w:numId w:val="7"/>
        </w:numPr>
        <w:jc w:val="both"/>
      </w:pPr>
      <w:r>
        <w:t>Bulaşıcı hastalıkların kontrolü için yayılmayı önleme ve bağışıklama çalışmalarının yanı sıra gerekli hijyen eğitimlerini vermek, gerekli muayene ve tetkiklerinin yapılmasını sağlamak.</w:t>
      </w:r>
    </w:p>
    <w:p w14:paraId="035F5625" w14:textId="77777777" w:rsidR="003B4D20" w:rsidRDefault="003B4D20" w:rsidP="003B4D20">
      <w:pPr>
        <w:pStyle w:val="ListeParagraf"/>
        <w:numPr>
          <w:ilvl w:val="1"/>
          <w:numId w:val="7"/>
        </w:numPr>
        <w:jc w:val="both"/>
      </w:pPr>
      <w:r>
        <w:t>İşyerindeki sağlık gözetimi ile ilgili çalışmaları kaydetmek, iş güvenliği uzmanı ile iş birliği yaparak iş kazaları ve meslek hastalıkları ile ilgili değerlendirme yapmak, tehlikeli olayın tekrarlanmaması için inceleme ve araştırma yaparak gerekli önleyici faaliyet planlarını hazırlamak ve bu konuları da içerecek şekilde yıllık çalışma planını hazırlayarak işverenin onayına sunmak, uygulamaların takibini yapmak.</w:t>
      </w:r>
    </w:p>
    <w:p w14:paraId="7B788AB4" w14:textId="77777777" w:rsidR="003B4D20" w:rsidRDefault="003B4D20" w:rsidP="003B4D20">
      <w:pPr>
        <w:pStyle w:val="ListeParagraf"/>
        <w:numPr>
          <w:ilvl w:val="1"/>
          <w:numId w:val="7"/>
        </w:numPr>
        <w:jc w:val="both"/>
      </w:pPr>
      <w:r>
        <w:t>Bir başka işverenden iş görmek için işyerine geçici olarak gönderilen çalışanlar ile alt işveren çalışanlarının yapacakları işe uygun olduğunu gösteren sağlık raporlarının süresinin dolup dolmadığını kontrol etmek.</w:t>
      </w:r>
    </w:p>
    <w:p w14:paraId="4B6C63E4" w14:textId="77777777" w:rsidR="003413A1" w:rsidRDefault="003413A1" w:rsidP="003413A1">
      <w:pPr>
        <w:pStyle w:val="ListeParagraf"/>
        <w:ind w:left="360"/>
        <w:jc w:val="both"/>
      </w:pPr>
    </w:p>
    <w:p w14:paraId="5A6E143D" w14:textId="77777777" w:rsidR="003B4D20" w:rsidRPr="008566E1" w:rsidRDefault="003B4D20" w:rsidP="003B4D20">
      <w:pPr>
        <w:pStyle w:val="ListeParagraf"/>
        <w:numPr>
          <w:ilvl w:val="0"/>
          <w:numId w:val="7"/>
        </w:numPr>
        <w:jc w:val="both"/>
        <w:rPr>
          <w:b/>
          <w:bCs/>
        </w:rPr>
      </w:pPr>
      <w:r w:rsidRPr="008566E1">
        <w:rPr>
          <w:b/>
          <w:bCs/>
        </w:rPr>
        <w:lastRenderedPageBreak/>
        <w:t>Eğitim, bilgilendirme ve kayıt;</w:t>
      </w:r>
    </w:p>
    <w:p w14:paraId="4C0B58A1" w14:textId="77777777" w:rsidR="003B4D20" w:rsidRDefault="003B4D20" w:rsidP="003B4D20">
      <w:pPr>
        <w:pStyle w:val="ListeParagraf"/>
        <w:numPr>
          <w:ilvl w:val="1"/>
          <w:numId w:val="7"/>
        </w:numPr>
        <w:jc w:val="both"/>
      </w:pPr>
      <w:r>
        <w:t>Çalışanların iş sağlığı ve güvenliği eğitimlerinin ilgili mevzuata uygun olarak planlanması konusunda çalışma yaparak işverenin onayına sunmak ve uygulamalarını yapmak veya kontrol etmek.</w:t>
      </w:r>
    </w:p>
    <w:p w14:paraId="6A53E49D" w14:textId="77777777" w:rsidR="003B4D20" w:rsidRDefault="003B4D20" w:rsidP="003B4D20">
      <w:pPr>
        <w:pStyle w:val="ListeParagraf"/>
        <w:numPr>
          <w:ilvl w:val="1"/>
          <w:numId w:val="7"/>
        </w:numPr>
        <w:jc w:val="both"/>
      </w:pPr>
      <w:r>
        <w:t>İşyerinde ilkyardım ve acil müdahale hizmetlerinin organizasyonu ve personelin eğitiminin sağlanması çalışmalarını ilgili mevzuat doğrultusunda yürütmek.</w:t>
      </w:r>
    </w:p>
    <w:p w14:paraId="2F7649DB" w14:textId="77777777" w:rsidR="003B4D20" w:rsidRDefault="003B4D20" w:rsidP="003B4D20">
      <w:pPr>
        <w:pStyle w:val="ListeParagraf"/>
        <w:numPr>
          <w:ilvl w:val="1"/>
          <w:numId w:val="7"/>
        </w:numPr>
        <w:jc w:val="both"/>
      </w:pPr>
      <w:r>
        <w:t>Yöneticilere, bulunması halinde iş sağlığı ve güvenliği kurulu üyelerine ve çalışanlara genel sağlık, iş sağlığı ve güvenliği, hijyen, bağımlılık yapan maddelerin kullanımının zararları, kişisel koruyucu donanımlar ve toplu korunma yöntemleri konularında eğitim vermek, eğitimin sürekliliğini sağlamak.</w:t>
      </w:r>
    </w:p>
    <w:p w14:paraId="67FC22D5" w14:textId="77777777" w:rsidR="003B4D20" w:rsidRDefault="003B4D20" w:rsidP="003B4D20">
      <w:pPr>
        <w:pStyle w:val="ListeParagraf"/>
        <w:numPr>
          <w:ilvl w:val="1"/>
          <w:numId w:val="7"/>
        </w:numPr>
        <w:jc w:val="both"/>
      </w:pPr>
      <w:r>
        <w:t>Çalışanları işyerindeki riskler, sağlık gözetimi, yapılan işe giriş ve periyodik muayeneler konusunda bilgilendirmek.</w:t>
      </w:r>
    </w:p>
    <w:p w14:paraId="4ED14222" w14:textId="77777777" w:rsidR="003B4D20" w:rsidRPr="00496D19" w:rsidRDefault="003B4D20" w:rsidP="003B4D20">
      <w:pPr>
        <w:pStyle w:val="ListeParagraf"/>
        <w:numPr>
          <w:ilvl w:val="0"/>
          <w:numId w:val="7"/>
        </w:numPr>
        <w:jc w:val="both"/>
        <w:rPr>
          <w:b/>
          <w:bCs/>
        </w:rPr>
      </w:pPr>
      <w:r w:rsidRPr="00496D19">
        <w:rPr>
          <w:b/>
          <w:bCs/>
        </w:rPr>
        <w:t>İlgili birimlerle iş birliği;</w:t>
      </w:r>
    </w:p>
    <w:p w14:paraId="4CE2FCC0" w14:textId="77777777" w:rsidR="003B4D20" w:rsidRDefault="003B4D20" w:rsidP="003B4D20">
      <w:pPr>
        <w:pStyle w:val="ListeParagraf"/>
        <w:numPr>
          <w:ilvl w:val="1"/>
          <w:numId w:val="7"/>
        </w:numPr>
        <w:jc w:val="both"/>
      </w:pPr>
      <w:r>
        <w:t>Sağlık gözetimi sonuçlarına göre, iş güvenliği uzmanı ile iş birliği içinde çalışma ortamının gözetimi kapsamında gerekli ölçümlerin yapılmasını önermek, ölçüm sonuçlarını değerlendirmek.</w:t>
      </w:r>
    </w:p>
    <w:p w14:paraId="3B0728E4" w14:textId="77777777" w:rsidR="003B4D20" w:rsidRDefault="003B4D20" w:rsidP="003B4D20">
      <w:pPr>
        <w:pStyle w:val="ListeParagraf"/>
        <w:numPr>
          <w:ilvl w:val="1"/>
          <w:numId w:val="7"/>
        </w:numPr>
        <w:jc w:val="both"/>
      </w:pPr>
      <w:r>
        <w:t>Bulunması halinde üyesi olduğu iş sağlığı ve güvenliği kuruluyla iş birliği içinde çalışmak.</w:t>
      </w:r>
    </w:p>
    <w:p w14:paraId="1CB8962F" w14:textId="77777777" w:rsidR="003B4D20" w:rsidRDefault="003B4D20" w:rsidP="003B4D20">
      <w:pPr>
        <w:pStyle w:val="ListeParagraf"/>
        <w:numPr>
          <w:ilvl w:val="1"/>
          <w:numId w:val="7"/>
        </w:numPr>
        <w:jc w:val="both"/>
      </w:pPr>
      <w:r>
        <w:t>İşyerinde iş sağlığı ve güvenliği konularında bilgi ve eğitim sağlanması için ilgili taraflarla iş birliği yapmak.</w:t>
      </w:r>
    </w:p>
    <w:p w14:paraId="70665D5E" w14:textId="77777777" w:rsidR="003B4D20" w:rsidRDefault="003B4D20" w:rsidP="003B4D20">
      <w:pPr>
        <w:pStyle w:val="ListeParagraf"/>
        <w:numPr>
          <w:ilvl w:val="1"/>
          <w:numId w:val="7"/>
        </w:numPr>
        <w:jc w:val="both"/>
      </w:pPr>
      <w:r>
        <w:t>İş kazaları ve meslek hastalıklarının analizi, iş uygulamalarının iyileştirilmesine yönelik programlar ile yeni teknoloji ve donanımın sağlık açısından değerlendirilmesi ve test edilmesi gibi mevcut uygulamaların iyileştirilmesine yönelik programların geliştirilmesi çalışmalarına katılmak.</w:t>
      </w:r>
    </w:p>
    <w:p w14:paraId="2218C640" w14:textId="77777777" w:rsidR="003B4D20" w:rsidRDefault="003B4D20" w:rsidP="003B4D20">
      <w:pPr>
        <w:pStyle w:val="ListeParagraf"/>
        <w:numPr>
          <w:ilvl w:val="1"/>
          <w:numId w:val="7"/>
        </w:numPr>
        <w:jc w:val="both"/>
      </w:pPr>
      <w:r>
        <w:t>Çalışma Gücü ve Meslekte Kazanma Gücü Kaybı Oranı Yönetmeliğine göre meslek hastalığı ile ilgili sağlık kurulu raporlarını düzenlemeye yetkili hastaneler ile iş birliği içinde çalışmak, iş kazasına uğrayan veya meslek hastalığına yakalanan çalışanların rehabilitasyonu konusunda ilgili birimlerle iş birliği yapmak.</w:t>
      </w:r>
    </w:p>
    <w:p w14:paraId="2B7A5CB1" w14:textId="77777777" w:rsidR="003B4D20" w:rsidRDefault="003B4D20" w:rsidP="003B4D20">
      <w:pPr>
        <w:pStyle w:val="ListeParagraf"/>
        <w:numPr>
          <w:ilvl w:val="1"/>
          <w:numId w:val="7"/>
        </w:numPr>
        <w:jc w:val="both"/>
      </w:pPr>
      <w:r>
        <w:t>İş sağlığı ve güvenliği alanında yapılacak araştırmalara katılmak.</w:t>
      </w:r>
    </w:p>
    <w:p w14:paraId="1042CB2B" w14:textId="77777777" w:rsidR="003B4D20" w:rsidRDefault="003B4D20" w:rsidP="003B4D20">
      <w:pPr>
        <w:pStyle w:val="ListeParagraf"/>
        <w:numPr>
          <w:ilvl w:val="1"/>
          <w:numId w:val="7"/>
        </w:numPr>
        <w:jc w:val="both"/>
      </w:pPr>
      <w:r>
        <w:t>Gerekli yerlerde kullanılmak amacıyla iş sağlığı ve güvenliği talimatları ile çalışma izin prosedürlerinin hazırlanmasında iş güvenliği uzmanına katkı vermek.</w:t>
      </w:r>
    </w:p>
    <w:p w14:paraId="56C26A00" w14:textId="6D78F46E" w:rsidR="00EB04A0" w:rsidRDefault="003B4D20" w:rsidP="003413A1">
      <w:pPr>
        <w:jc w:val="both"/>
      </w:pPr>
      <w:r>
        <w:t>İşyerinde görevli çalışan temsilcisi ve destek elemanlarının çalışmalarına destek sağlamak ve bu kişilerle iş birliği yapmak.</w:t>
      </w:r>
      <w:r>
        <w:cr/>
      </w:r>
    </w:p>
    <w:sectPr w:rsidR="00EB04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A3C0E" w14:textId="77777777" w:rsidR="008E0D7C" w:rsidRDefault="008E0D7C" w:rsidP="00B065EC">
      <w:pPr>
        <w:spacing w:after="0" w:line="240" w:lineRule="auto"/>
      </w:pPr>
      <w:r>
        <w:separator/>
      </w:r>
    </w:p>
  </w:endnote>
  <w:endnote w:type="continuationSeparator" w:id="0">
    <w:p w14:paraId="46A323D8" w14:textId="77777777" w:rsidR="008E0D7C" w:rsidRDefault="008E0D7C" w:rsidP="00B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CDAE" w14:textId="21102B57" w:rsidR="005E4354" w:rsidRDefault="005E4354" w:rsidP="00EB04A0">
    <w:pPr>
      <w:pBdr>
        <w:bottom w:val="single" w:sz="6" w:space="1" w:color="auto"/>
      </w:pBdr>
      <w:tabs>
        <w:tab w:val="center" w:pos="4536"/>
      </w:tabs>
      <w:spacing w:after="0" w:line="240" w:lineRule="auto"/>
      <w:jc w:val="both"/>
      <w:rPr>
        <w:rFonts w:ascii="Times New Roman" w:eastAsia="Calibri" w:hAnsi="Times New Roman" w:cs="Times New Roman"/>
        <w:i/>
        <w:color w:val="808080"/>
        <w:sz w:val="20"/>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34"/>
    </w:tblGrid>
    <w:tr w:rsidR="00437065" w14:paraId="170E6D29" w14:textId="77777777" w:rsidTr="003B33CF">
      <w:tc>
        <w:tcPr>
          <w:tcW w:w="7428" w:type="dxa"/>
        </w:tcPr>
        <w:p w14:paraId="6EACE567" w14:textId="77777777" w:rsidR="00437065" w:rsidRDefault="00437065" w:rsidP="00EB04A0">
          <w:pPr>
            <w:tabs>
              <w:tab w:val="center" w:pos="4536"/>
            </w:tabs>
            <w:jc w:val="both"/>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b/>
              <w:bCs/>
              <w:iCs/>
              <w:color w:val="808080"/>
              <w:sz w:val="16"/>
              <w:szCs w:val="16"/>
              <w:lang w:eastAsia="tr-TR"/>
            </w:rPr>
            <w:t>TOKAT GAZİOSMANPAŞA ÜNİVERSİTESİ İŞ SAĞLIĞI VE GÜVENLİĞİ KOORDİNATÖRLÜĞÜ</w:t>
          </w:r>
        </w:p>
        <w:p w14:paraId="56069F24" w14:textId="77777777" w:rsidR="00390088" w:rsidRDefault="00390088" w:rsidP="00390088">
          <w:pPr>
            <w:tabs>
              <w:tab w:val="center" w:pos="4536"/>
            </w:tabs>
            <w:jc w:val="both"/>
            <w:rPr>
              <w:rFonts w:ascii="Times New Roman" w:eastAsia="Calibri" w:hAnsi="Times New Roman" w:cs="Times New Roman"/>
              <w:iCs/>
              <w:color w:val="808080"/>
              <w:sz w:val="18"/>
              <w:szCs w:val="18"/>
              <w:lang w:eastAsia="tr-TR"/>
            </w:rPr>
          </w:pPr>
        </w:p>
        <w:p w14:paraId="3B16BB19" w14:textId="571400A4" w:rsidR="00390088" w:rsidRPr="00390088" w:rsidRDefault="00390088" w:rsidP="00EB04A0">
          <w:pPr>
            <w:tabs>
              <w:tab w:val="center" w:pos="4536"/>
            </w:tabs>
            <w:jc w:val="both"/>
            <w:rPr>
              <w:rFonts w:ascii="Times New Roman" w:eastAsia="Calibri" w:hAnsi="Times New Roman" w:cs="Times New Roman"/>
              <w:iCs/>
              <w:color w:val="808080"/>
              <w:sz w:val="18"/>
              <w:szCs w:val="18"/>
              <w:lang w:eastAsia="tr-TR"/>
            </w:rPr>
          </w:pPr>
          <w:r w:rsidRPr="005E4354">
            <w:rPr>
              <w:rFonts w:ascii="Times New Roman" w:eastAsia="Calibri" w:hAnsi="Times New Roman" w:cs="Times New Roman"/>
              <w:iCs/>
              <w:color w:val="808080"/>
              <w:sz w:val="18"/>
              <w:szCs w:val="18"/>
              <w:lang w:eastAsia="tr-TR"/>
            </w:rPr>
            <w:t>*</w:t>
          </w:r>
          <w:r w:rsidRPr="005E4354">
            <w:rPr>
              <w:rFonts w:ascii="Times New Roman" w:eastAsia="Times New Roman" w:hAnsi="Times New Roman" w:cs="Times New Roman"/>
              <w:iCs/>
              <w:color w:val="000000"/>
              <w:sz w:val="18"/>
              <w:szCs w:val="18"/>
              <w:lang w:eastAsia="tr-TR"/>
            </w:rPr>
            <w:t xml:space="preserve"> </w:t>
          </w:r>
          <w:r w:rsidRPr="005E4354">
            <w:rPr>
              <w:rFonts w:ascii="Times New Roman" w:eastAsia="Calibri" w:hAnsi="Times New Roman" w:cs="Times New Roman"/>
              <w:iCs/>
              <w:color w:val="808080"/>
              <w:sz w:val="18"/>
              <w:szCs w:val="18"/>
              <w:lang w:eastAsia="tr-TR"/>
            </w:rPr>
            <w:t>Tokat Gaziosmanpaşa Üniversitesi ilgili yönetmelik ve yönergeler gereğince hazırlanmıştır.</w:t>
          </w:r>
        </w:p>
      </w:tc>
      <w:tc>
        <w:tcPr>
          <w:tcW w:w="1634" w:type="dxa"/>
        </w:tcPr>
        <w:p w14:paraId="5771BAAF" w14:textId="62DBE4F8" w:rsidR="00437065" w:rsidRPr="00184D8A" w:rsidRDefault="00184D8A" w:rsidP="00437065">
          <w:pPr>
            <w:tabs>
              <w:tab w:val="center" w:pos="4536"/>
            </w:tabs>
            <w:jc w:val="right"/>
            <w:rPr>
              <w:rFonts w:ascii="Times New Roman" w:eastAsia="Calibri" w:hAnsi="Times New Roman" w:cs="Times New Roman"/>
              <w:iCs/>
              <w:color w:val="808080"/>
              <w:sz w:val="16"/>
              <w:szCs w:val="16"/>
              <w:lang w:eastAsia="tr-TR"/>
            </w:rPr>
          </w:pPr>
          <w:r w:rsidRPr="00184D8A">
            <w:rPr>
              <w:rFonts w:ascii="Times New Roman" w:eastAsia="Calibri" w:hAnsi="Times New Roman" w:cs="Times New Roman"/>
              <w:iCs/>
              <w:color w:val="808080"/>
              <w:sz w:val="16"/>
              <w:szCs w:val="16"/>
              <w:lang w:eastAsia="tr-TR"/>
            </w:rPr>
            <w:t>https://isg.gop.edu.tr</w:t>
          </w:r>
        </w:p>
        <w:p w14:paraId="5E2F2DF9" w14:textId="77777777" w:rsidR="00184D8A" w:rsidRDefault="00184D8A" w:rsidP="00437065">
          <w:pPr>
            <w:tabs>
              <w:tab w:val="center" w:pos="4536"/>
            </w:tabs>
            <w:jc w:val="right"/>
            <w:rPr>
              <w:rFonts w:ascii="Times New Roman" w:eastAsia="Calibri" w:hAnsi="Times New Roman" w:cs="Times New Roman"/>
              <w:b/>
              <w:bCs/>
              <w:iCs/>
              <w:color w:val="808080"/>
              <w:sz w:val="16"/>
              <w:szCs w:val="16"/>
              <w:lang w:eastAsia="tr-TR"/>
            </w:rPr>
          </w:pPr>
          <w:r w:rsidRPr="00184D8A">
            <w:rPr>
              <w:rFonts w:ascii="Times New Roman" w:eastAsia="Calibri" w:hAnsi="Times New Roman" w:cs="Times New Roman"/>
              <w:iCs/>
              <w:color w:val="808080"/>
              <w:sz w:val="16"/>
              <w:szCs w:val="16"/>
              <w:lang w:eastAsia="tr-TR"/>
            </w:rPr>
            <w:t>0 356 252 16 16</w:t>
          </w:r>
          <w:r>
            <w:rPr>
              <w:rFonts w:ascii="Times New Roman" w:eastAsia="Calibri" w:hAnsi="Times New Roman" w:cs="Times New Roman"/>
              <w:b/>
              <w:bCs/>
              <w:iCs/>
              <w:color w:val="808080"/>
              <w:sz w:val="16"/>
              <w:szCs w:val="16"/>
              <w:lang w:eastAsia="tr-TR"/>
            </w:rPr>
            <w:t xml:space="preserve"> </w:t>
          </w:r>
        </w:p>
        <w:p w14:paraId="72147D0E" w14:textId="51999686" w:rsidR="00390088" w:rsidRPr="00390088" w:rsidRDefault="00390088" w:rsidP="00437065">
          <w:pPr>
            <w:tabs>
              <w:tab w:val="center" w:pos="4536"/>
            </w:tabs>
            <w:jc w:val="right"/>
            <w:rPr>
              <w:rFonts w:ascii="Times New Roman" w:eastAsia="Calibri" w:hAnsi="Times New Roman" w:cs="Times New Roman"/>
              <w:iCs/>
              <w:color w:val="808080"/>
              <w:sz w:val="16"/>
              <w:szCs w:val="16"/>
              <w:lang w:eastAsia="tr-TR"/>
            </w:rPr>
          </w:pPr>
          <w:r w:rsidRPr="00390088">
            <w:rPr>
              <w:rFonts w:ascii="Times New Roman" w:eastAsia="Calibri" w:hAnsi="Times New Roman" w:cs="Times New Roman"/>
              <w:iCs/>
              <w:color w:val="808080"/>
              <w:sz w:val="16"/>
              <w:szCs w:val="16"/>
              <w:lang w:eastAsia="tr-TR"/>
            </w:rPr>
            <w:t>D: 2840</w:t>
          </w:r>
        </w:p>
      </w:tc>
    </w:tr>
    <w:tr w:rsidR="007B29CF" w14:paraId="03DFF2F0" w14:textId="77777777" w:rsidTr="003B33CF">
      <w:tc>
        <w:tcPr>
          <w:tcW w:w="9062" w:type="dxa"/>
          <w:gridSpan w:val="2"/>
        </w:tcPr>
        <w:p w14:paraId="0EA24FE6" w14:textId="64C9866E" w:rsidR="007B29CF" w:rsidRDefault="007B29CF" w:rsidP="00184D8A">
          <w:pPr>
            <w:tabs>
              <w:tab w:val="center" w:pos="4536"/>
            </w:tabs>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iCs/>
              <w:color w:val="FF0000"/>
              <w:sz w:val="18"/>
              <w:szCs w:val="16"/>
              <w:lang w:eastAsia="tr-TR"/>
            </w:rPr>
            <w:t xml:space="preserve">Bu dokümanın basılı hali kontrolsüz </w:t>
          </w:r>
          <w:proofErr w:type="gramStart"/>
          <w:r w:rsidRPr="005E4354">
            <w:rPr>
              <w:rFonts w:ascii="Times New Roman" w:eastAsia="Calibri" w:hAnsi="Times New Roman" w:cs="Times New Roman"/>
              <w:iCs/>
              <w:color w:val="FF0000"/>
              <w:sz w:val="18"/>
              <w:szCs w:val="16"/>
              <w:lang w:eastAsia="tr-TR"/>
            </w:rPr>
            <w:t>doküman</w:t>
          </w:r>
          <w:proofErr w:type="gramEnd"/>
          <w:r w:rsidRPr="005E4354">
            <w:rPr>
              <w:rFonts w:ascii="Times New Roman" w:eastAsia="Calibri" w:hAnsi="Times New Roman" w:cs="Times New Roman"/>
              <w:iCs/>
              <w:color w:val="FF0000"/>
              <w:sz w:val="18"/>
              <w:szCs w:val="16"/>
              <w:lang w:eastAsia="tr-TR"/>
            </w:rPr>
            <w:t xml:space="preserve"> kabul edilmektedir. Lütfen web sitesinden en son versiyonuna ulaşınız</w:t>
          </w:r>
          <w:r>
            <w:rPr>
              <w:rFonts w:ascii="Times New Roman" w:eastAsia="Calibri" w:hAnsi="Times New Roman" w:cs="Times New Roman"/>
              <w:iCs/>
              <w:color w:val="FF0000"/>
              <w:sz w:val="18"/>
              <w:szCs w:val="16"/>
              <w:lang w:eastAsia="tr-TR"/>
            </w:rPr>
            <w:t>.</w:t>
          </w:r>
          <w:r w:rsidRPr="005E4354">
            <w:rPr>
              <w:rFonts w:ascii="Calibri" w:eastAsia="Calibri" w:hAnsi="Calibri" w:cs="Times New Roman"/>
              <w:sz w:val="20"/>
              <w:szCs w:val="20"/>
              <w:lang w:eastAsia="tr-TR"/>
            </w:rPr>
            <w:t xml:space="preserve"> </w:t>
          </w:r>
        </w:p>
      </w:tc>
    </w:tr>
  </w:tbl>
  <w:p w14:paraId="1BB53854" w14:textId="77777777" w:rsidR="00437065" w:rsidRPr="005E4354" w:rsidRDefault="00437065" w:rsidP="00EB04A0">
    <w:pPr>
      <w:tabs>
        <w:tab w:val="center" w:pos="4536"/>
      </w:tabs>
      <w:spacing w:after="0" w:line="240" w:lineRule="auto"/>
      <w:jc w:val="both"/>
      <w:rPr>
        <w:rFonts w:ascii="Times New Roman" w:eastAsia="Calibri" w:hAnsi="Times New Roman" w:cs="Times New Roman"/>
        <w:b/>
        <w:bCs/>
        <w:iCs/>
        <w:color w:val="808080"/>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4BD38" w14:textId="77777777" w:rsidR="008E0D7C" w:rsidRDefault="008E0D7C" w:rsidP="00B065EC">
      <w:pPr>
        <w:spacing w:after="0" w:line="240" w:lineRule="auto"/>
      </w:pPr>
      <w:r>
        <w:separator/>
      </w:r>
    </w:p>
  </w:footnote>
  <w:footnote w:type="continuationSeparator" w:id="0">
    <w:p w14:paraId="557215C6" w14:textId="77777777" w:rsidR="008E0D7C" w:rsidRDefault="008E0D7C" w:rsidP="00B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B065EC" w:rsidRPr="00B065EC" w14:paraId="5D07C888" w14:textId="77777777" w:rsidTr="00C1531D">
      <w:trPr>
        <w:trHeight w:val="272"/>
      </w:trPr>
      <w:tc>
        <w:tcPr>
          <w:tcW w:w="1716" w:type="dxa"/>
          <w:vMerge w:val="restart"/>
          <w:vAlign w:val="center"/>
        </w:tcPr>
        <w:p w14:paraId="46EB3C9D" w14:textId="77777777" w:rsidR="00B065EC" w:rsidRPr="00B065EC" w:rsidRDefault="00B065EC" w:rsidP="00B065EC">
          <w:pPr>
            <w:spacing w:before="60"/>
            <w:jc w:val="center"/>
            <w:rPr>
              <w:rFonts w:ascii="Century Gothic" w:eastAsia="Century Gothic" w:hAnsi="Century Gothic" w:cs="Times New Roman"/>
              <w:color w:val="000000"/>
              <w:sz w:val="20"/>
              <w:szCs w:val="20"/>
              <w:lang w:eastAsia="tr-TR"/>
            </w:rPr>
          </w:pPr>
          <w:r w:rsidRPr="00B065EC">
            <w:rPr>
              <w:rFonts w:ascii="Century Gothic" w:eastAsia="Century Gothic" w:hAnsi="Century Gothic" w:cs="Times New Roman"/>
              <w:noProof/>
              <w:color w:val="000000"/>
              <w:sz w:val="20"/>
              <w:szCs w:val="20"/>
              <w:lang w:eastAsia="tr-TR"/>
            </w:rPr>
            <w:drawing>
              <wp:inline distT="0" distB="0" distL="0" distR="0" wp14:anchorId="70BE0330" wp14:editId="448D38FB">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tblGrid>
          <w:tr w:rsidR="000811F7" w14:paraId="3F24BBD7" w14:textId="77777777" w:rsidTr="00516447">
            <w:trPr>
              <w:trHeight w:val="759"/>
            </w:trPr>
            <w:tc>
              <w:tcPr>
                <w:tcW w:w="4432" w:type="dxa"/>
              </w:tcPr>
              <w:p w14:paraId="7FADC8D3" w14:textId="77777777" w:rsidR="000811F7" w:rsidRPr="002C7E1A" w:rsidRDefault="000811F7" w:rsidP="00E25E5E">
                <w:pPr>
                  <w:framePr w:hSpace="141" w:wrap="around" w:hAnchor="margin" w:xAlign="center" w:y="-1140"/>
                  <w:jc w:val="center"/>
                  <w:rPr>
                    <w:rFonts w:ascii="Times New Roman" w:eastAsia="Century Gothic" w:hAnsi="Times New Roman" w:cs="Times New Roman"/>
                    <w:b/>
                    <w:color w:val="000000"/>
                    <w:sz w:val="18"/>
                    <w:szCs w:val="20"/>
                    <w:lang w:eastAsia="tr-TR"/>
                  </w:rPr>
                </w:pPr>
                <w:r w:rsidRPr="002C7E1A">
                  <w:rPr>
                    <w:rFonts w:ascii="Times New Roman" w:eastAsia="Century Gothic" w:hAnsi="Times New Roman" w:cs="Times New Roman"/>
                    <w:b/>
                    <w:color w:val="000000"/>
                    <w:sz w:val="18"/>
                    <w:szCs w:val="20"/>
                    <w:lang w:eastAsia="tr-TR"/>
                  </w:rPr>
                  <w:t>T.C. TOKAT GAZİOSMANPAŞA ÜNİVERSİTESİ</w:t>
                </w:r>
              </w:p>
              <w:p w14:paraId="72764AE9" w14:textId="0134F90E" w:rsidR="000811F7" w:rsidRPr="00AB689F" w:rsidRDefault="000811F7" w:rsidP="00E25E5E">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 SAĞLIĞI VE GÜVENLİĞİ KOORDİNATÖRLÜĞÜ</w:t>
                </w:r>
              </w:p>
            </w:tc>
          </w:tr>
          <w:tr w:rsidR="000811F7" w14:paraId="5F6CB312" w14:textId="77777777" w:rsidTr="00516447">
            <w:trPr>
              <w:trHeight w:val="759"/>
            </w:trPr>
            <w:tc>
              <w:tcPr>
                <w:tcW w:w="4432" w:type="dxa"/>
                <w:vAlign w:val="center"/>
              </w:tcPr>
              <w:p w14:paraId="2B0872D6" w14:textId="3C907B41" w:rsidR="000811F7" w:rsidRDefault="003B4D20" w:rsidP="00E25E5E">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İşyeri Hekimi</w:t>
                </w:r>
              </w:p>
              <w:p w14:paraId="7F46EFDB" w14:textId="665ECB98" w:rsidR="000811F7" w:rsidRDefault="009543BF" w:rsidP="00E25E5E">
                <w:pPr>
                  <w:framePr w:hSpace="141" w:wrap="around" w:hAnchor="margin" w:xAlign="center" w:y="-1140"/>
                  <w:jc w:val="center"/>
                  <w:rPr>
                    <w:rFonts w:ascii="Century Gothic" w:eastAsia="Century Gothic" w:hAnsi="Century Gothic" w:cs="Times New Roman"/>
                    <w:color w:val="000000"/>
                    <w:sz w:val="20"/>
                    <w:szCs w:val="20"/>
                    <w:lang w:eastAsia="tr-TR"/>
                  </w:rPr>
                </w:pPr>
                <w:r>
                  <w:rPr>
                    <w:rFonts w:ascii="Times New Roman" w:eastAsia="Century Gothic" w:hAnsi="Times New Roman" w:cs="Times New Roman"/>
                    <w:b/>
                    <w:color w:val="000000"/>
                    <w:sz w:val="24"/>
                    <w:szCs w:val="28"/>
                    <w:lang w:eastAsia="tr-TR"/>
                  </w:rPr>
                  <w:t>Görev Tanımı</w:t>
                </w:r>
              </w:p>
            </w:tc>
          </w:tr>
        </w:tbl>
        <w:p w14:paraId="5CCEEEB4" w14:textId="4034C81C" w:rsidR="000811F7" w:rsidRPr="00B065EC" w:rsidRDefault="000811F7" w:rsidP="0058183B">
          <w:pPr>
            <w:jc w:val="center"/>
            <w:rPr>
              <w:rFonts w:ascii="Century Gothic" w:eastAsia="Century Gothic" w:hAnsi="Century Gothic" w:cs="Times New Roman"/>
              <w:color w:val="000000"/>
              <w:sz w:val="20"/>
              <w:szCs w:val="20"/>
              <w:lang w:eastAsia="tr-TR"/>
            </w:rPr>
          </w:pPr>
        </w:p>
      </w:tc>
      <w:tc>
        <w:tcPr>
          <w:tcW w:w="1536" w:type="dxa"/>
        </w:tcPr>
        <w:p w14:paraId="09A85765"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Doküman No</w:t>
          </w:r>
        </w:p>
      </w:tc>
      <w:tc>
        <w:tcPr>
          <w:tcW w:w="1871" w:type="dxa"/>
        </w:tcPr>
        <w:p w14:paraId="1A2D75AA" w14:textId="7F38A4C4" w:rsidR="00E25E5E" w:rsidRPr="00B065EC" w:rsidRDefault="001A2153"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İSG</w:t>
          </w:r>
          <w:r w:rsidR="00B065EC" w:rsidRPr="00B065EC">
            <w:rPr>
              <w:rFonts w:ascii="Times New Roman" w:eastAsia="Century Gothic" w:hAnsi="Times New Roman" w:cs="Times New Roman"/>
              <w:color w:val="000000"/>
              <w:sz w:val="20"/>
              <w:szCs w:val="20"/>
              <w:lang w:eastAsia="tr-TR"/>
            </w:rPr>
            <w:t>.</w:t>
          </w:r>
          <w:r w:rsidR="00E25E5E">
            <w:rPr>
              <w:rFonts w:ascii="Times New Roman" w:eastAsia="Century Gothic" w:hAnsi="Times New Roman" w:cs="Times New Roman"/>
              <w:color w:val="000000"/>
              <w:sz w:val="20"/>
              <w:szCs w:val="20"/>
              <w:lang w:eastAsia="tr-TR"/>
            </w:rPr>
            <w:t>GÖR.02</w:t>
          </w:r>
        </w:p>
      </w:tc>
    </w:tr>
    <w:tr w:rsidR="00B065EC" w:rsidRPr="00B065EC" w14:paraId="0E6A0EB7" w14:textId="77777777" w:rsidTr="00C1531D">
      <w:trPr>
        <w:trHeight w:val="272"/>
      </w:trPr>
      <w:tc>
        <w:tcPr>
          <w:tcW w:w="1716" w:type="dxa"/>
          <w:vMerge/>
        </w:tcPr>
        <w:p w14:paraId="0EA4F814"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69CDD59B"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188879F2"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İlk Yayın Tarihi</w:t>
          </w:r>
        </w:p>
      </w:tc>
      <w:tc>
        <w:tcPr>
          <w:tcW w:w="1871" w:type="dxa"/>
        </w:tcPr>
        <w:p w14:paraId="46BAFC33" w14:textId="1DDE17F7" w:rsidR="00B065EC" w:rsidRPr="00B065EC" w:rsidRDefault="009543BF" w:rsidP="00B065EC">
          <w:pPr>
            <w:rPr>
              <w:rFonts w:ascii="Times New Roman" w:eastAsia="Century Gothic"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B065EC" w:rsidRPr="00B065EC">
            <w:rPr>
              <w:rFonts w:ascii="Times New Roman" w:eastAsia="Times New Roman" w:hAnsi="Times New Roman" w:cs="Times New Roman"/>
              <w:color w:val="000000"/>
              <w:sz w:val="20"/>
              <w:szCs w:val="20"/>
              <w:lang w:eastAsia="tr-TR"/>
            </w:rPr>
            <w:t>2.0</w:t>
          </w:r>
          <w:r w:rsidR="001A2153">
            <w:rPr>
              <w:rFonts w:ascii="Times New Roman" w:eastAsia="Times New Roman" w:hAnsi="Times New Roman" w:cs="Times New Roman"/>
              <w:color w:val="000000"/>
              <w:sz w:val="20"/>
              <w:szCs w:val="20"/>
              <w:lang w:eastAsia="tr-TR"/>
            </w:rPr>
            <w:t>9</w:t>
          </w:r>
          <w:r w:rsidR="00B065EC" w:rsidRPr="00B065EC">
            <w:rPr>
              <w:rFonts w:ascii="Times New Roman" w:eastAsia="Times New Roman" w:hAnsi="Times New Roman" w:cs="Times New Roman"/>
              <w:color w:val="000000"/>
              <w:sz w:val="20"/>
              <w:szCs w:val="20"/>
              <w:lang w:eastAsia="tr-TR"/>
            </w:rPr>
            <w:t>.202</w:t>
          </w:r>
          <w:r w:rsidR="001A2153">
            <w:rPr>
              <w:rFonts w:ascii="Times New Roman" w:eastAsia="Times New Roman" w:hAnsi="Times New Roman" w:cs="Times New Roman"/>
              <w:color w:val="000000"/>
              <w:sz w:val="20"/>
              <w:szCs w:val="20"/>
              <w:lang w:eastAsia="tr-TR"/>
            </w:rPr>
            <w:t>5</w:t>
          </w:r>
        </w:p>
      </w:tc>
    </w:tr>
    <w:tr w:rsidR="00B065EC" w:rsidRPr="00B065EC" w14:paraId="66397E57" w14:textId="77777777" w:rsidTr="00C1531D">
      <w:trPr>
        <w:trHeight w:val="286"/>
      </w:trPr>
      <w:tc>
        <w:tcPr>
          <w:tcW w:w="1716" w:type="dxa"/>
          <w:vMerge/>
        </w:tcPr>
        <w:p w14:paraId="15C34253"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7ED4145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291D0B33"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Tarihi</w:t>
          </w:r>
        </w:p>
      </w:tc>
      <w:tc>
        <w:tcPr>
          <w:tcW w:w="1871" w:type="dxa"/>
        </w:tcPr>
        <w:p w14:paraId="5A4362FE" w14:textId="77777777"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1F94700F" w14:textId="77777777" w:rsidTr="00C1531D">
      <w:trPr>
        <w:trHeight w:val="286"/>
      </w:trPr>
      <w:tc>
        <w:tcPr>
          <w:tcW w:w="1716" w:type="dxa"/>
          <w:vMerge/>
        </w:tcPr>
        <w:p w14:paraId="46B0C82A"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06FBD711"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0676588F"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No</w:t>
          </w:r>
        </w:p>
      </w:tc>
      <w:tc>
        <w:tcPr>
          <w:tcW w:w="1871" w:type="dxa"/>
        </w:tcPr>
        <w:p w14:paraId="05300DF7"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00</w:t>
          </w:r>
        </w:p>
      </w:tc>
    </w:tr>
    <w:tr w:rsidR="00B065EC" w:rsidRPr="00B065EC" w14:paraId="44683C42" w14:textId="77777777" w:rsidTr="00C1531D">
      <w:trPr>
        <w:trHeight w:val="272"/>
      </w:trPr>
      <w:tc>
        <w:tcPr>
          <w:tcW w:w="1716" w:type="dxa"/>
          <w:vMerge/>
        </w:tcPr>
        <w:p w14:paraId="1C9BB330"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1C35F3B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5CD3343A" w14:textId="77777777" w:rsidR="00B065EC" w:rsidRPr="00B065EC" w:rsidRDefault="00B065EC" w:rsidP="005D223C">
          <w:pPr>
            <w:spacing w:before="120"/>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Sayfa No</w:t>
          </w:r>
        </w:p>
      </w:tc>
      <w:tc>
        <w:tcPr>
          <w:tcW w:w="1871" w:type="dxa"/>
        </w:tcPr>
        <w:p w14:paraId="2D878E3B" w14:textId="6744DC4E" w:rsidR="00813102" w:rsidRPr="00B065EC" w:rsidRDefault="004B0705" w:rsidP="005D223C">
          <w:pPr>
            <w:spacing w:before="120"/>
            <w:rPr>
              <w:rFonts w:ascii="Times New Roman" w:eastAsia="Century Gothic" w:hAnsi="Times New Roman" w:cs="Times New Roman"/>
              <w:color w:val="000000"/>
              <w:sz w:val="20"/>
              <w:szCs w:val="20"/>
              <w:lang w:eastAsia="tr-TR"/>
            </w:rPr>
          </w:pPr>
          <w:r w:rsidRPr="004B0705">
            <w:rPr>
              <w:rFonts w:ascii="Times New Roman" w:eastAsia="Century Gothic" w:hAnsi="Times New Roman" w:cs="Times New Roman"/>
              <w:color w:val="000000"/>
              <w:sz w:val="20"/>
              <w:szCs w:val="20"/>
              <w:lang w:eastAsia="tr-TR"/>
            </w:rPr>
            <w:t xml:space="preserve"> </w:t>
          </w:r>
          <w:r w:rsidRPr="004B0705">
            <w:rPr>
              <w:rFonts w:ascii="Times New Roman" w:eastAsia="Century Gothic" w:hAnsi="Times New Roman" w:cs="Times New Roman"/>
              <w:color w:val="000000"/>
              <w:sz w:val="20"/>
              <w:szCs w:val="20"/>
              <w:lang w:eastAsia="tr-TR"/>
            </w:rPr>
            <w:fldChar w:fldCharType="begin"/>
          </w:r>
          <w:r w:rsidRPr="004B0705">
            <w:rPr>
              <w:rFonts w:ascii="Times New Roman" w:eastAsia="Century Gothic" w:hAnsi="Times New Roman" w:cs="Times New Roman"/>
              <w:color w:val="000000"/>
              <w:sz w:val="20"/>
              <w:szCs w:val="20"/>
              <w:lang w:eastAsia="tr-TR"/>
            </w:rPr>
            <w:instrText>PAGE    \* MERGEFORMAT</w:instrText>
          </w:r>
          <w:r w:rsidRPr="004B0705">
            <w:rPr>
              <w:rFonts w:ascii="Times New Roman" w:eastAsia="Century Gothic" w:hAnsi="Times New Roman" w:cs="Times New Roman"/>
              <w:color w:val="000000"/>
              <w:sz w:val="20"/>
              <w:szCs w:val="20"/>
              <w:lang w:eastAsia="tr-TR"/>
            </w:rPr>
            <w:fldChar w:fldCharType="separate"/>
          </w:r>
          <w:r w:rsidRPr="004B0705">
            <w:rPr>
              <w:rFonts w:ascii="Times New Roman" w:eastAsia="Century Gothic" w:hAnsi="Times New Roman" w:cs="Times New Roman"/>
              <w:color w:val="000000"/>
              <w:sz w:val="20"/>
              <w:szCs w:val="20"/>
              <w:lang w:eastAsia="tr-TR"/>
            </w:rPr>
            <w:t>1</w:t>
          </w:r>
          <w:r w:rsidRPr="004B0705">
            <w:rPr>
              <w:rFonts w:ascii="Times New Roman" w:eastAsia="Century Gothic" w:hAnsi="Times New Roman" w:cs="Times New Roman"/>
              <w:color w:val="000000"/>
              <w:sz w:val="20"/>
              <w:szCs w:val="20"/>
              <w:lang w:eastAsia="tr-TR"/>
            </w:rPr>
            <w:fldChar w:fldCharType="end"/>
          </w:r>
          <w:r>
            <w:rPr>
              <w:rFonts w:ascii="Times New Roman" w:eastAsia="Century Gothic" w:hAnsi="Times New Roman" w:cs="Times New Roman"/>
              <w:color w:val="000000"/>
              <w:sz w:val="20"/>
              <w:szCs w:val="20"/>
              <w:lang w:eastAsia="tr-TR"/>
            </w:rPr>
            <w:t>/</w:t>
          </w:r>
          <w:r w:rsidR="003413A1">
            <w:rPr>
              <w:rFonts w:ascii="Times New Roman" w:eastAsia="Century Gothic" w:hAnsi="Times New Roman" w:cs="Times New Roman"/>
              <w:color w:val="000000"/>
              <w:sz w:val="20"/>
              <w:szCs w:val="20"/>
              <w:lang w:eastAsia="tr-TR"/>
            </w:rPr>
            <w:t>3</w:t>
          </w:r>
        </w:p>
      </w:tc>
    </w:tr>
  </w:tbl>
  <w:p w14:paraId="6DDC8D1C" w14:textId="77777777" w:rsidR="00B065EC" w:rsidRDefault="00B065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660C1"/>
    <w:multiLevelType w:val="hybridMultilevel"/>
    <w:tmpl w:val="FD22BCC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3C07E2"/>
    <w:multiLevelType w:val="hybridMultilevel"/>
    <w:tmpl w:val="3E64D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9A3D56"/>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9D05BF"/>
    <w:multiLevelType w:val="hybridMultilevel"/>
    <w:tmpl w:val="561266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F828D5"/>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5CA5315"/>
    <w:multiLevelType w:val="hybridMultilevel"/>
    <w:tmpl w:val="D8D863D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F43D94"/>
    <w:multiLevelType w:val="multilevel"/>
    <w:tmpl w:val="836AE31E"/>
    <w:lvl w:ilvl="0">
      <w:start w:val="1"/>
      <w:numFmt w:val="lowerLetter"/>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44B2B64"/>
    <w:multiLevelType w:val="multilevel"/>
    <w:tmpl w:val="04C0A69C"/>
    <w:lvl w:ilvl="0">
      <w:start w:val="1"/>
      <w:numFmt w:val="lowerLetter"/>
      <w:lvlText w:val="%1)"/>
      <w:lvlJc w:val="left"/>
      <w:pPr>
        <w:ind w:left="360" w:hanging="360"/>
      </w:pPr>
      <w:rPr>
        <w:rFonts w:asciiTheme="minorHAnsi" w:eastAsiaTheme="minorHAnsi" w:hAnsiTheme="minorHAnsi" w:cstheme="minorBidi"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1661798">
    <w:abstractNumId w:val="2"/>
  </w:num>
  <w:num w:numId="2" w16cid:durableId="1437673164">
    <w:abstractNumId w:val="1"/>
  </w:num>
  <w:num w:numId="3" w16cid:durableId="281109430">
    <w:abstractNumId w:val="0"/>
  </w:num>
  <w:num w:numId="4" w16cid:durableId="847871005">
    <w:abstractNumId w:val="3"/>
  </w:num>
  <w:num w:numId="5" w16cid:durableId="368720548">
    <w:abstractNumId w:val="5"/>
  </w:num>
  <w:num w:numId="6" w16cid:durableId="2128355355">
    <w:abstractNumId w:val="6"/>
  </w:num>
  <w:num w:numId="7" w16cid:durableId="712461379">
    <w:abstractNumId w:val="7"/>
  </w:num>
  <w:num w:numId="8" w16cid:durableId="2127774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EC"/>
    <w:rsid w:val="00026654"/>
    <w:rsid w:val="000811F7"/>
    <w:rsid w:val="00184D8A"/>
    <w:rsid w:val="001A2153"/>
    <w:rsid w:val="00247925"/>
    <w:rsid w:val="002C7E1A"/>
    <w:rsid w:val="002E08AA"/>
    <w:rsid w:val="003413A1"/>
    <w:rsid w:val="00354366"/>
    <w:rsid w:val="00390088"/>
    <w:rsid w:val="0039050C"/>
    <w:rsid w:val="0039590F"/>
    <w:rsid w:val="003B33CF"/>
    <w:rsid w:val="003B4D20"/>
    <w:rsid w:val="00437065"/>
    <w:rsid w:val="00457DAA"/>
    <w:rsid w:val="004B0705"/>
    <w:rsid w:val="00516447"/>
    <w:rsid w:val="00544103"/>
    <w:rsid w:val="0058183B"/>
    <w:rsid w:val="00583CB8"/>
    <w:rsid w:val="005A0715"/>
    <w:rsid w:val="005A4BE2"/>
    <w:rsid w:val="005D0C24"/>
    <w:rsid w:val="005D223C"/>
    <w:rsid w:val="005E4354"/>
    <w:rsid w:val="005F1CB6"/>
    <w:rsid w:val="006C1E84"/>
    <w:rsid w:val="007B29CF"/>
    <w:rsid w:val="00813102"/>
    <w:rsid w:val="0082026F"/>
    <w:rsid w:val="008539EC"/>
    <w:rsid w:val="008E0D7C"/>
    <w:rsid w:val="00932D3A"/>
    <w:rsid w:val="009543BF"/>
    <w:rsid w:val="009E6548"/>
    <w:rsid w:val="00AA4A3B"/>
    <w:rsid w:val="00AB689F"/>
    <w:rsid w:val="00AE2BF9"/>
    <w:rsid w:val="00B065EC"/>
    <w:rsid w:val="00BD49A6"/>
    <w:rsid w:val="00BE6022"/>
    <w:rsid w:val="00CC00BD"/>
    <w:rsid w:val="00CD0F15"/>
    <w:rsid w:val="00DC6A10"/>
    <w:rsid w:val="00DC7E12"/>
    <w:rsid w:val="00E25E5E"/>
    <w:rsid w:val="00E93F69"/>
    <w:rsid w:val="00EB04A0"/>
    <w:rsid w:val="00EE53CA"/>
    <w:rsid w:val="00F30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F63B"/>
  <w15:chartTrackingRefBased/>
  <w15:docId w15:val="{773A3ECC-4D52-4F90-9D43-5120EB3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EC"/>
  </w:style>
  <w:style w:type="paragraph" w:styleId="AltBilgi">
    <w:name w:val="footer"/>
    <w:basedOn w:val="Normal"/>
    <w:link w:val="AltBilgiChar"/>
    <w:uiPriority w:val="99"/>
    <w:unhideWhenUsed/>
    <w:rsid w:val="00B06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EC"/>
  </w:style>
  <w:style w:type="table" w:styleId="TabloKlavuzu">
    <w:name w:val="Table Grid"/>
    <w:basedOn w:val="NormalTablo"/>
    <w:uiPriority w:val="39"/>
    <w:rsid w:val="00B0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84D8A"/>
    <w:rPr>
      <w:color w:val="0563C1" w:themeColor="hyperlink"/>
      <w:u w:val="single"/>
    </w:rPr>
  </w:style>
  <w:style w:type="character" w:styleId="zmlenmeyenBahsetme">
    <w:name w:val="Unresolved Mention"/>
    <w:basedOn w:val="VarsaylanParagrafYazTipi"/>
    <w:uiPriority w:val="99"/>
    <w:semiHidden/>
    <w:unhideWhenUsed/>
    <w:rsid w:val="00184D8A"/>
    <w:rPr>
      <w:color w:val="605E5C"/>
      <w:shd w:val="clear" w:color="auto" w:fill="E1DFDD"/>
    </w:rPr>
  </w:style>
  <w:style w:type="paragraph" w:styleId="ListeParagraf">
    <w:name w:val="List Paragraph"/>
    <w:basedOn w:val="Normal"/>
    <w:uiPriority w:val="34"/>
    <w:qFormat/>
    <w:rsid w:val="00EE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1207</Words>
  <Characters>6884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Engin Karaarslan</cp:lastModifiedBy>
  <cp:revision>4</cp:revision>
  <dcterms:created xsi:type="dcterms:W3CDTF">2025-09-12T11:28:00Z</dcterms:created>
  <dcterms:modified xsi:type="dcterms:W3CDTF">2025-10-22T11:55:00Z</dcterms:modified>
</cp:coreProperties>
</file>